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2CBAA8AC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8224B4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CDEBAC" w14:textId="71BDF399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0D304B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05E877E9" w:rsidR="00E13CEE" w:rsidRDefault="008224B4" w:rsidP="007F6F6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Focus Group Pre-work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2CBAA8AC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Session </w:t>
                      </w:r>
                      <w:r w:rsidR="008224B4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19CDEBAC" w14:textId="71BDF399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0D304B">
                        <w:rPr>
                          <w:sz w:val="32"/>
                          <w:szCs w:val="32"/>
                        </w:rPr>
                        <w:t>10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05E877E9" w:rsidR="00E13CEE" w:rsidRDefault="008224B4" w:rsidP="007F6F6C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Focus Group Pre-work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02476730" w:rsidR="00977443" w:rsidRPr="000A72CA" w:rsidRDefault="007F6F6C" w:rsidP="00E13CEE">
      <w:pPr>
        <w:rPr>
          <w:b/>
          <w:bCs/>
          <w:color w:val="C00000"/>
        </w:rPr>
      </w:pPr>
      <w:r w:rsidRPr="007F6F6C">
        <w:rPr>
          <w:b/>
          <w:bCs/>
        </w:rPr>
        <w:t xml:space="preserve">Focus Group:  </w:t>
      </w:r>
      <w:r w:rsidR="000A72CA" w:rsidRPr="000A72CA">
        <w:rPr>
          <w:b/>
          <w:bCs/>
          <w:color w:val="C00000"/>
        </w:rPr>
        <w:t>B-Progress and impact of state graduation, credit, funding, licensure, and accreditation policies</w:t>
      </w:r>
    </w:p>
    <w:p w14:paraId="7F144590" w14:textId="1DB6A54B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r w:rsidR="000A72CA">
        <w:t>Anne Bauer</w:t>
      </w:r>
    </w:p>
    <w:p w14:paraId="13C366A9" w14:textId="77777777" w:rsidR="000A72CA" w:rsidRPr="000A72CA" w:rsidRDefault="007F6F6C" w:rsidP="000A72CA">
      <w:r>
        <w:rPr>
          <w:b/>
          <w:bCs/>
        </w:rPr>
        <w:t xml:space="preserve">Group Members: </w:t>
      </w:r>
      <w:r w:rsidR="000A72CA" w:rsidRPr="000A72CA">
        <w:t>Les Meyer, Fairfield Public Schools Superintendent</w:t>
      </w:r>
    </w:p>
    <w:p w14:paraId="4A461638" w14:textId="77777777" w:rsidR="000A72CA" w:rsidRPr="000A72CA" w:rsidRDefault="000A72CA" w:rsidP="000A72CA">
      <w:r w:rsidRPr="000A72CA">
        <w:t>Pete Donovan, BOPE Executive Director</w:t>
      </w:r>
    </w:p>
    <w:p w14:paraId="7DCF3E5A" w14:textId="77777777" w:rsidR="000A72CA" w:rsidRPr="000A72CA" w:rsidRDefault="000A72CA" w:rsidP="000A72CA">
      <w:r w:rsidRPr="000A72CA">
        <w:t>Kirk Miller, SAM Executive Director</w:t>
      </w:r>
    </w:p>
    <w:p w14:paraId="12980500" w14:textId="77777777" w:rsidR="000A72CA" w:rsidRPr="000A72CA" w:rsidRDefault="000A72CA" w:rsidP="000A72CA">
      <w:r w:rsidRPr="000A72CA">
        <w:t>Kristine Thatcher, Director of Licensure-OPI</w:t>
      </w:r>
    </w:p>
    <w:p w14:paraId="6D047FAE" w14:textId="77777777" w:rsidR="000A72CA" w:rsidRPr="000A72CA" w:rsidRDefault="000A72CA" w:rsidP="000A72CA">
      <w:r w:rsidRPr="000A72CA">
        <w:t>Tammy Lacey, BOPE Vice-Chair</w:t>
      </w:r>
    </w:p>
    <w:p w14:paraId="60A31644" w14:textId="77777777" w:rsidR="000A72CA" w:rsidRPr="000A72CA" w:rsidRDefault="000A72CA" w:rsidP="000A72CA">
      <w:r w:rsidRPr="000A72CA">
        <w:t>Corinna Guardipee-Hall, Browning Schools Superintendent</w:t>
      </w:r>
    </w:p>
    <w:p w14:paraId="12204D5D" w14:textId="424CD274" w:rsidR="003A09CD" w:rsidRDefault="000A72CA" w:rsidP="000A72CA">
      <w:r w:rsidRPr="000A72CA">
        <w:t>Representative Bruce Grubbs, Education Interim Committee</w:t>
      </w:r>
    </w:p>
    <w:p w14:paraId="18327772" w14:textId="631D18F1" w:rsidR="008224B4" w:rsidRDefault="008224B4" w:rsidP="000A72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8224B4" w:rsidRPr="00C06AE3" w14:paraId="46EE5EBB" w14:textId="77777777" w:rsidTr="00450338">
        <w:tc>
          <w:tcPr>
            <w:tcW w:w="3905" w:type="dxa"/>
            <w:shd w:val="clear" w:color="auto" w:fill="BFBFBF" w:themeFill="background1" w:themeFillShade="BF"/>
          </w:tcPr>
          <w:p w14:paraId="79E22A2A" w14:textId="77777777" w:rsidR="008224B4" w:rsidRPr="00C06AE3" w:rsidRDefault="008224B4" w:rsidP="00450338">
            <w:r w:rsidRPr="00C06AE3">
              <w:rPr>
                <w:b/>
                <w:bCs/>
              </w:rPr>
              <w:t>Group Identified Flexibilities:</w:t>
            </w:r>
          </w:p>
          <w:p w14:paraId="7478782D" w14:textId="77777777" w:rsidR="008224B4" w:rsidRPr="00C06AE3" w:rsidRDefault="008224B4" w:rsidP="00450338">
            <w:pPr>
              <w:pStyle w:val="ListParagraph"/>
              <w:numPr>
                <w:ilvl w:val="0"/>
                <w:numId w:val="12"/>
              </w:numPr>
            </w:pPr>
            <w:r w:rsidRPr="00C06AE3">
              <w:t>Potential Legislative Policy</w:t>
            </w:r>
          </w:p>
          <w:p w14:paraId="4CA75E58" w14:textId="77777777" w:rsidR="008224B4" w:rsidRPr="00C06AE3" w:rsidRDefault="008224B4" w:rsidP="00450338">
            <w:pPr>
              <w:pStyle w:val="ListParagraph"/>
              <w:numPr>
                <w:ilvl w:val="0"/>
                <w:numId w:val="12"/>
              </w:numPr>
            </w:pPr>
            <w:r w:rsidRPr="00C06AE3">
              <w:t>Funding Needs</w:t>
            </w:r>
          </w:p>
          <w:p w14:paraId="4BDB2385" w14:textId="77777777" w:rsidR="008224B4" w:rsidRPr="00C06AE3" w:rsidRDefault="008224B4" w:rsidP="00450338">
            <w:pPr>
              <w:pStyle w:val="ListParagraph"/>
              <w:numPr>
                <w:ilvl w:val="0"/>
                <w:numId w:val="12"/>
              </w:numPr>
            </w:pPr>
            <w:r w:rsidRPr="00C06AE3">
              <w:t>Regulation Updates</w:t>
            </w:r>
          </w:p>
          <w:p w14:paraId="30EE7F15" w14:textId="77777777" w:rsidR="008224B4" w:rsidRPr="00C06AE3" w:rsidRDefault="008224B4" w:rsidP="00450338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06AE3">
              <w:t>Waiver Considerations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488E1355" w14:textId="77777777" w:rsidR="008224B4" w:rsidRDefault="008224B4" w:rsidP="00450338">
            <w:pPr>
              <w:rPr>
                <w:b/>
                <w:bCs/>
              </w:rPr>
            </w:pPr>
            <w:r>
              <w:rPr>
                <w:b/>
                <w:bCs/>
              </w:rPr>
              <w:t>Draft action steps</w:t>
            </w:r>
            <w:r w:rsidRPr="00C06AE3">
              <w:rPr>
                <w:b/>
                <w:bCs/>
              </w:rPr>
              <w:t xml:space="preserve"> to </w:t>
            </w:r>
            <w:r>
              <w:rPr>
                <w:b/>
                <w:bCs/>
              </w:rPr>
              <w:t xml:space="preserve">enact these </w:t>
            </w:r>
            <w:r w:rsidRPr="00C06AE3">
              <w:rPr>
                <w:b/>
                <w:bCs/>
              </w:rPr>
              <w:t xml:space="preserve">flexibilities </w:t>
            </w:r>
            <w:r>
              <w:rPr>
                <w:b/>
                <w:bCs/>
              </w:rPr>
              <w:t>and make them useable:</w:t>
            </w:r>
          </w:p>
          <w:p w14:paraId="0D888165" w14:textId="77777777" w:rsidR="008224B4" w:rsidRPr="00C06AE3" w:rsidRDefault="008224B4" w:rsidP="00450338">
            <w:pPr>
              <w:pStyle w:val="ListParagraph"/>
              <w:numPr>
                <w:ilvl w:val="0"/>
                <w:numId w:val="14"/>
              </w:numPr>
            </w:pPr>
            <w:r w:rsidRPr="00C06AE3">
              <w:t>What do we need to do?</w:t>
            </w:r>
          </w:p>
          <w:p w14:paraId="48D8A72E" w14:textId="77777777" w:rsidR="008224B4" w:rsidRPr="00C06AE3" w:rsidRDefault="008224B4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Who needs to be involved to enact the flexibilities?</w:t>
            </w:r>
          </w:p>
          <w:p w14:paraId="3A925EFC" w14:textId="77777777" w:rsidR="008224B4" w:rsidRPr="00C06AE3" w:rsidRDefault="008224B4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How long will it take to implement the flexibility?</w:t>
            </w:r>
          </w:p>
          <w:p w14:paraId="1C52CA22" w14:textId="77777777" w:rsidR="008224B4" w:rsidRPr="00C06AE3" w:rsidRDefault="008224B4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stakeholder requirements?</w:t>
            </w:r>
          </w:p>
          <w:p w14:paraId="2F213300" w14:textId="77777777" w:rsidR="008224B4" w:rsidRPr="00C06AE3" w:rsidRDefault="008224B4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What resources would be needed?</w:t>
            </w:r>
          </w:p>
          <w:p w14:paraId="27AE46C4" w14:textId="77777777" w:rsidR="008224B4" w:rsidRPr="00C06AE3" w:rsidRDefault="008224B4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risks involved in enacting the flexibility?</w:t>
            </w:r>
          </w:p>
          <w:p w14:paraId="63DD96C8" w14:textId="77777777" w:rsidR="008224B4" w:rsidRPr="00C06AE3" w:rsidRDefault="008224B4" w:rsidP="00450338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C06AE3">
              <w:t>What are the implications</w:t>
            </w:r>
            <w:r>
              <w:t xml:space="preserve"> on student success</w:t>
            </w:r>
            <w:r w:rsidRPr="00C06AE3">
              <w:t>?</w:t>
            </w:r>
          </w:p>
        </w:tc>
      </w:tr>
      <w:tr w:rsidR="008224B4" w:rsidRPr="007F6F6C" w14:paraId="04B23B7D" w14:textId="77777777" w:rsidTr="00450338">
        <w:tc>
          <w:tcPr>
            <w:tcW w:w="3905" w:type="dxa"/>
          </w:tcPr>
          <w:p w14:paraId="41B5113D" w14:textId="241F8821" w:rsidR="008224B4" w:rsidRPr="007F6F6C" w:rsidRDefault="00B46D40" w:rsidP="00450338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1.  Flexibility within the accreditation variances of standards </w:t>
            </w:r>
            <w:r w:rsidR="00D702A9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>review board</w:t>
            </w:r>
            <w:r w:rsidR="00D702A9">
              <w:rPr>
                <w:rFonts w:cstheme="minorHAnsi"/>
              </w:rPr>
              <w:t xml:space="preserve"> process. 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8640" w:type="dxa"/>
          </w:tcPr>
          <w:p w14:paraId="38E29C12" w14:textId="2107FEC1" w:rsidR="008224B4" w:rsidRDefault="00492D4E" w:rsidP="0045033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Conduct </w:t>
            </w:r>
            <w:r>
              <w:rPr>
                <w:rFonts w:cstheme="minorHAnsi"/>
              </w:rPr>
              <w:t xml:space="preserve">quick review </w:t>
            </w:r>
            <w:r>
              <w:rPr>
                <w:rFonts w:cstheme="minorHAnsi"/>
              </w:rPr>
              <w:t xml:space="preserve">of accreditation system </w:t>
            </w:r>
            <w:r>
              <w:rPr>
                <w:rFonts w:cstheme="minorHAnsi"/>
              </w:rPr>
              <w:t>to see if there are more changes we could do to variance of standards</w:t>
            </w:r>
            <w:r>
              <w:rPr>
                <w:rFonts w:cstheme="minorHAnsi"/>
              </w:rPr>
              <w:t xml:space="preserve"> and how to address the performance component given lack of data available for 2019-2020.  </w:t>
            </w:r>
            <w:bookmarkStart w:id="0" w:name="_GoBack"/>
            <w:bookmarkEnd w:id="0"/>
          </w:p>
          <w:p w14:paraId="3732B88B" w14:textId="77777777" w:rsidR="008224B4" w:rsidRDefault="008224B4" w:rsidP="00450338">
            <w:pPr>
              <w:rPr>
                <w:rFonts w:cstheme="minorHAnsi"/>
                <w:b/>
                <w:bCs/>
              </w:rPr>
            </w:pPr>
          </w:p>
          <w:p w14:paraId="2FDE781A" w14:textId="77777777" w:rsidR="008224B4" w:rsidRPr="007F6F6C" w:rsidRDefault="008224B4" w:rsidP="00450338">
            <w:pPr>
              <w:rPr>
                <w:rFonts w:cstheme="minorHAnsi"/>
                <w:b/>
                <w:bCs/>
              </w:rPr>
            </w:pPr>
          </w:p>
        </w:tc>
      </w:tr>
      <w:tr w:rsidR="008224B4" w:rsidRPr="007F6F6C" w14:paraId="19D1BF76" w14:textId="77777777" w:rsidTr="00450338">
        <w:tc>
          <w:tcPr>
            <w:tcW w:w="3905" w:type="dxa"/>
          </w:tcPr>
          <w:p w14:paraId="44A0ED2C" w14:textId="70AA64DE" w:rsidR="008224B4" w:rsidRPr="007F6F6C" w:rsidRDefault="00D702A9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2.  Collective Bargaining Engagement:  Guidance for helping local boards engage in the collective bargaining process. </w:t>
            </w:r>
          </w:p>
        </w:tc>
        <w:tc>
          <w:tcPr>
            <w:tcW w:w="8640" w:type="dxa"/>
          </w:tcPr>
          <w:p w14:paraId="44FEB81B" w14:textId="77777777" w:rsidR="008224B4" w:rsidRDefault="008224B4" w:rsidP="00450338">
            <w:pPr>
              <w:rPr>
                <w:rFonts w:cstheme="minorHAnsi"/>
              </w:rPr>
            </w:pPr>
          </w:p>
          <w:p w14:paraId="7AE9ACB6" w14:textId="77777777" w:rsidR="008224B4" w:rsidRDefault="008224B4" w:rsidP="00450338">
            <w:pPr>
              <w:rPr>
                <w:rFonts w:cstheme="minorHAnsi"/>
              </w:rPr>
            </w:pPr>
          </w:p>
          <w:p w14:paraId="7193B834" w14:textId="77777777" w:rsidR="008224B4" w:rsidRDefault="008224B4" w:rsidP="00450338">
            <w:pPr>
              <w:rPr>
                <w:rFonts w:cstheme="minorHAnsi"/>
              </w:rPr>
            </w:pPr>
          </w:p>
          <w:p w14:paraId="2686BB72" w14:textId="77777777" w:rsidR="008224B4" w:rsidRPr="007F6F6C" w:rsidRDefault="008224B4" w:rsidP="00450338">
            <w:pPr>
              <w:rPr>
                <w:rFonts w:cstheme="minorHAnsi"/>
              </w:rPr>
            </w:pPr>
          </w:p>
        </w:tc>
      </w:tr>
      <w:tr w:rsidR="00D702A9" w:rsidRPr="007F6F6C" w14:paraId="34CE3332" w14:textId="77777777" w:rsidTr="00450338">
        <w:tc>
          <w:tcPr>
            <w:tcW w:w="3905" w:type="dxa"/>
          </w:tcPr>
          <w:p w14:paraId="74A74271" w14:textId="4ACFF1FA" w:rsidR="00D702A9" w:rsidRDefault="00D702A9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3.  </w:t>
            </w:r>
            <w:r w:rsidR="00391D3C">
              <w:rPr>
                <w:rFonts w:cstheme="minorHAnsi"/>
              </w:rPr>
              <w:t xml:space="preserve">Licensure Flexibilities:  </w:t>
            </w:r>
            <w:r w:rsidRPr="009D54DC">
              <w:rPr>
                <w:rFonts w:cstheme="minorHAnsi"/>
              </w:rPr>
              <w:t xml:space="preserve">Produce a one-page summary of the flexibilities </w:t>
            </w:r>
            <w:r w:rsidRPr="009D54DC">
              <w:rPr>
                <w:rFonts w:cstheme="minorHAnsi"/>
              </w:rPr>
              <w:lastRenderedPageBreak/>
              <w:t>available in licensure</w:t>
            </w:r>
            <w:r>
              <w:rPr>
                <w:rFonts w:cstheme="minorHAnsi"/>
              </w:rPr>
              <w:t xml:space="preserve"> </w:t>
            </w:r>
            <w:r w:rsidRPr="009D54DC">
              <w:rPr>
                <w:rFonts w:cstheme="minorHAnsi"/>
              </w:rPr>
              <w:t>to help administrators understand about emergency authorizations, what it takes to get an out-of-state teacher licensed, the Praxis issue, around 10-55-607 and 10-55-604,</w:t>
            </w:r>
            <w:r>
              <w:rPr>
                <w:rFonts w:cstheme="minorHAnsi"/>
              </w:rPr>
              <w:t xml:space="preserve"> </w:t>
            </w:r>
            <w:r w:rsidRPr="009D54DC">
              <w:rPr>
                <w:rFonts w:cstheme="minorHAnsi"/>
              </w:rPr>
              <w:t>and still apply the checks and balances to get quality teachers.</w:t>
            </w:r>
          </w:p>
        </w:tc>
        <w:tc>
          <w:tcPr>
            <w:tcW w:w="8640" w:type="dxa"/>
          </w:tcPr>
          <w:p w14:paraId="4FACD758" w14:textId="77777777" w:rsidR="00D702A9" w:rsidRDefault="00D702A9" w:rsidP="00450338">
            <w:pPr>
              <w:rPr>
                <w:rFonts w:cstheme="minorHAnsi"/>
              </w:rPr>
            </w:pPr>
          </w:p>
        </w:tc>
      </w:tr>
      <w:tr w:rsidR="00D702A9" w:rsidRPr="007F6F6C" w14:paraId="15A8F08B" w14:textId="77777777" w:rsidTr="00450338">
        <w:tc>
          <w:tcPr>
            <w:tcW w:w="3905" w:type="dxa"/>
          </w:tcPr>
          <w:p w14:paraId="4A78F26C" w14:textId="59292C75" w:rsidR="00D702A9" w:rsidRDefault="00391D3C" w:rsidP="00391D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  <w:r w:rsidRPr="00391D3C">
              <w:rPr>
                <w:rFonts w:cstheme="minorHAnsi"/>
              </w:rPr>
              <w:t>Accommodating teachers in the high-risk health category who can’t come in the classroom.</w:t>
            </w:r>
          </w:p>
        </w:tc>
        <w:tc>
          <w:tcPr>
            <w:tcW w:w="8640" w:type="dxa"/>
          </w:tcPr>
          <w:p w14:paraId="1CF8F3AD" w14:textId="77777777" w:rsidR="00D702A9" w:rsidRDefault="00D702A9" w:rsidP="00450338">
            <w:pPr>
              <w:rPr>
                <w:rFonts w:cstheme="minorHAnsi"/>
              </w:rPr>
            </w:pPr>
          </w:p>
        </w:tc>
      </w:tr>
      <w:tr w:rsidR="00391D3C" w:rsidRPr="007F6F6C" w14:paraId="75837341" w14:textId="77777777" w:rsidTr="00450338">
        <w:tc>
          <w:tcPr>
            <w:tcW w:w="3905" w:type="dxa"/>
          </w:tcPr>
          <w:p w14:paraId="5139B3E7" w14:textId="45D1E696" w:rsidR="00391D3C" w:rsidRDefault="00391D3C" w:rsidP="00391D3C">
            <w:pPr>
              <w:rPr>
                <w:rFonts w:cstheme="minorHAnsi"/>
              </w:rPr>
            </w:pPr>
            <w:r>
              <w:rPr>
                <w:rFonts w:cstheme="minorHAnsi"/>
              </w:rPr>
              <w:t>5.  Getting technology to students</w:t>
            </w:r>
          </w:p>
        </w:tc>
        <w:tc>
          <w:tcPr>
            <w:tcW w:w="8640" w:type="dxa"/>
          </w:tcPr>
          <w:p w14:paraId="2DB78C05" w14:textId="77777777" w:rsidR="00391D3C" w:rsidRDefault="00391D3C" w:rsidP="00450338">
            <w:pPr>
              <w:rPr>
                <w:rFonts w:cstheme="minorHAnsi"/>
              </w:rPr>
            </w:pPr>
          </w:p>
        </w:tc>
      </w:tr>
      <w:tr w:rsidR="00391D3C" w:rsidRPr="007F6F6C" w14:paraId="09DB1BFC" w14:textId="77777777" w:rsidTr="00450338">
        <w:tc>
          <w:tcPr>
            <w:tcW w:w="3905" w:type="dxa"/>
          </w:tcPr>
          <w:p w14:paraId="0FE12A34" w14:textId="4EE4E281" w:rsidR="00391D3C" w:rsidRDefault="00391D3C" w:rsidP="00391D3C">
            <w:pPr>
              <w:rPr>
                <w:rFonts w:cstheme="minorHAnsi"/>
              </w:rPr>
            </w:pPr>
            <w:r w:rsidRPr="00391D3C">
              <w:rPr>
                <w:rFonts w:cstheme="minorHAnsi"/>
              </w:rPr>
              <w:t>6.  School nutrition flexibility</w:t>
            </w:r>
          </w:p>
        </w:tc>
        <w:tc>
          <w:tcPr>
            <w:tcW w:w="8640" w:type="dxa"/>
          </w:tcPr>
          <w:p w14:paraId="4C1CD9C4" w14:textId="77777777" w:rsidR="00391D3C" w:rsidRDefault="00391D3C" w:rsidP="00450338">
            <w:pPr>
              <w:rPr>
                <w:rFonts w:cstheme="minorHAnsi"/>
              </w:rPr>
            </w:pPr>
          </w:p>
        </w:tc>
      </w:tr>
    </w:tbl>
    <w:p w14:paraId="336329C0" w14:textId="77777777" w:rsidR="007F6F6C" w:rsidRPr="00E13CEE" w:rsidRDefault="007F6F6C" w:rsidP="008224B4"/>
    <w:sectPr w:rsidR="007F6F6C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5862"/>
    <w:multiLevelType w:val="hybridMultilevel"/>
    <w:tmpl w:val="02F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5464"/>
    <w:multiLevelType w:val="hybridMultilevel"/>
    <w:tmpl w:val="E1DA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11B96"/>
    <w:multiLevelType w:val="hybridMultilevel"/>
    <w:tmpl w:val="0DD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83F75"/>
    <w:multiLevelType w:val="hybridMultilevel"/>
    <w:tmpl w:val="80C0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4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A72CA"/>
    <w:rsid w:val="000D304B"/>
    <w:rsid w:val="000E1F9A"/>
    <w:rsid w:val="001D73AA"/>
    <w:rsid w:val="001E7D46"/>
    <w:rsid w:val="0037268B"/>
    <w:rsid w:val="00391D3C"/>
    <w:rsid w:val="003A09CD"/>
    <w:rsid w:val="003C1CF5"/>
    <w:rsid w:val="00492D4E"/>
    <w:rsid w:val="00570EB1"/>
    <w:rsid w:val="00577256"/>
    <w:rsid w:val="005B400F"/>
    <w:rsid w:val="005C6CFD"/>
    <w:rsid w:val="006D79BF"/>
    <w:rsid w:val="00712DD7"/>
    <w:rsid w:val="007F271E"/>
    <w:rsid w:val="007F6F6C"/>
    <w:rsid w:val="0080439F"/>
    <w:rsid w:val="0081366E"/>
    <w:rsid w:val="008224B4"/>
    <w:rsid w:val="008D5D03"/>
    <w:rsid w:val="0094545B"/>
    <w:rsid w:val="00977443"/>
    <w:rsid w:val="00A8314F"/>
    <w:rsid w:val="00B32E3F"/>
    <w:rsid w:val="00B46D40"/>
    <w:rsid w:val="00CA702A"/>
    <w:rsid w:val="00D169D9"/>
    <w:rsid w:val="00D23878"/>
    <w:rsid w:val="00D702A9"/>
    <w:rsid w:val="00D76986"/>
    <w:rsid w:val="00DB090D"/>
    <w:rsid w:val="00DD2467"/>
    <w:rsid w:val="00E01162"/>
    <w:rsid w:val="00E13CEE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2020-06-05T00:17:00Z</dcterms:created>
  <dcterms:modified xsi:type="dcterms:W3CDTF">2020-06-05T00:17:00Z</dcterms:modified>
</cp:coreProperties>
</file>